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5"/>
        </w:tabs>
        <w:spacing w:line="360" w:lineRule="auto"/>
        <w:jc w:val="center"/>
        <w:rPr>
          <w:rFonts w:hint="eastAsia" w:asciiTheme="minorEastAsia" w:hAnsiTheme="minorEastAsia" w:cstheme="minorEastAsia"/>
          <w:bCs/>
          <w:sz w:val="32"/>
          <w:szCs w:val="32"/>
        </w:rPr>
      </w:pPr>
      <w:r>
        <w:rPr>
          <w:rFonts w:hint="eastAsia" w:asciiTheme="minorEastAsia" w:hAnsiTheme="minorEastAsia" w:cstheme="minorEastAsia"/>
          <w:bCs/>
          <w:sz w:val="32"/>
          <w:szCs w:val="32"/>
          <w:lang w:val="en-US" w:eastAsia="zh-CN"/>
        </w:rPr>
        <w:t>LARC-T031北京脑科学与类脑研究所</w:t>
      </w:r>
      <w:bookmarkStart w:id="1" w:name="_GoBack"/>
      <w:bookmarkEnd w:id="1"/>
      <w:r>
        <w:rPr>
          <w:rFonts w:hint="eastAsia" w:asciiTheme="minorEastAsia" w:hAnsiTheme="minorEastAsia" w:cstheme="minorEastAsia"/>
          <w:bCs/>
          <w:sz w:val="32"/>
          <w:szCs w:val="32"/>
        </w:rPr>
        <w:t>小鼠胚胎冷冻申请表</w:t>
      </w:r>
    </w:p>
    <w:tbl>
      <w:tblPr>
        <w:tblStyle w:val="7"/>
        <w:tblpPr w:leftFromText="180" w:rightFromText="180" w:vertAnchor="text" w:horzAnchor="page" w:tblpXSpec="center" w:tblpY="635"/>
        <w:tblOverlap w:val="never"/>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21"/>
        <w:gridCol w:w="1239"/>
        <w:gridCol w:w="573"/>
        <w:gridCol w:w="417"/>
        <w:gridCol w:w="748"/>
        <w:gridCol w:w="69"/>
        <w:gridCol w:w="96"/>
        <w:gridCol w:w="652"/>
        <w:gridCol w:w="1168"/>
        <w:gridCol w:w="31"/>
        <w:gridCol w:w="747"/>
        <w:gridCol w:w="797"/>
        <w:gridCol w:w="208"/>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42" w:type="dxa"/>
            <w:gridSpan w:val="2"/>
            <w:vAlign w:val="center"/>
          </w:tcPr>
          <w:p>
            <w:pPr>
              <w:jc w:val="center"/>
              <w:rPr>
                <w:rFonts w:hAnsiTheme="minorEastAsia" w:cstheme="minorEastAsia"/>
                <w:sz w:val="24"/>
              </w:rPr>
            </w:pPr>
            <w:r>
              <w:rPr>
                <w:rFonts w:hint="eastAsia" w:hAnsiTheme="minorEastAsia" w:cstheme="minorEastAsia"/>
                <w:sz w:val="24"/>
              </w:rPr>
              <w:t>AP</w:t>
            </w:r>
          </w:p>
        </w:tc>
        <w:tc>
          <w:tcPr>
            <w:tcW w:w="1812" w:type="dxa"/>
            <w:gridSpan w:val="2"/>
            <w:vAlign w:val="center"/>
          </w:tcPr>
          <w:p>
            <w:pPr>
              <w:jc w:val="center"/>
              <w:rPr>
                <w:rFonts w:hAnsiTheme="minorEastAsia" w:cstheme="minorEastAsia"/>
                <w:sz w:val="24"/>
              </w:rPr>
            </w:pPr>
          </w:p>
        </w:tc>
        <w:tc>
          <w:tcPr>
            <w:tcW w:w="1165" w:type="dxa"/>
            <w:gridSpan w:val="2"/>
            <w:vAlign w:val="center"/>
          </w:tcPr>
          <w:p>
            <w:pPr>
              <w:jc w:val="center"/>
              <w:rPr>
                <w:rFonts w:hAnsiTheme="minorEastAsia" w:cstheme="minorEastAsia"/>
                <w:sz w:val="24"/>
              </w:rPr>
            </w:pPr>
            <w:r>
              <w:rPr>
                <w:rFonts w:hint="eastAsia" w:hAnsiTheme="minorEastAsia" w:cstheme="minorEastAsia"/>
                <w:sz w:val="24"/>
              </w:rPr>
              <w:t>实验室</w:t>
            </w:r>
          </w:p>
        </w:tc>
        <w:tc>
          <w:tcPr>
            <w:tcW w:w="2016" w:type="dxa"/>
            <w:gridSpan w:val="5"/>
            <w:vAlign w:val="center"/>
          </w:tcPr>
          <w:p>
            <w:pPr>
              <w:jc w:val="center"/>
              <w:rPr>
                <w:rFonts w:hAnsiTheme="minorEastAsia" w:cstheme="minorEastAsia"/>
                <w:sz w:val="24"/>
              </w:rPr>
            </w:pPr>
          </w:p>
        </w:tc>
        <w:tc>
          <w:tcPr>
            <w:tcW w:w="1544" w:type="dxa"/>
            <w:gridSpan w:val="2"/>
            <w:vAlign w:val="center"/>
          </w:tcPr>
          <w:p>
            <w:pPr>
              <w:jc w:val="center"/>
              <w:rPr>
                <w:rFonts w:hAnsiTheme="minorEastAsia" w:cstheme="minorEastAsia"/>
                <w:sz w:val="24"/>
              </w:rPr>
            </w:pPr>
            <w:r>
              <w:rPr>
                <w:rFonts w:hint="eastAsia" w:hAnsiTheme="minorEastAsia" w:cstheme="minorEastAsia"/>
                <w:sz w:val="24"/>
              </w:rPr>
              <w:t>申请人</w:t>
            </w:r>
          </w:p>
        </w:tc>
        <w:tc>
          <w:tcPr>
            <w:tcW w:w="1617" w:type="dxa"/>
            <w:gridSpan w:val="2"/>
            <w:vAlign w:val="center"/>
          </w:tcPr>
          <w:p>
            <w:pPr>
              <w:jc w:val="center"/>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42"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申请日期</w:t>
            </w:r>
          </w:p>
        </w:tc>
        <w:tc>
          <w:tcPr>
            <w:tcW w:w="3046" w:type="dxa"/>
            <w:gridSpan w:val="5"/>
            <w:vAlign w:val="center"/>
          </w:tcPr>
          <w:p>
            <w:pPr>
              <w:pStyle w:val="2"/>
              <w:snapToGrid w:val="0"/>
              <w:jc w:val="center"/>
              <w:rPr>
                <w:rFonts w:asciiTheme="minorHAnsi" w:hAnsiTheme="minorEastAsia" w:eastAsiaTheme="minorEastAsia" w:cstheme="minorEastAsia"/>
                <w:sz w:val="24"/>
                <w:szCs w:val="24"/>
              </w:rPr>
            </w:pPr>
          </w:p>
        </w:tc>
        <w:tc>
          <w:tcPr>
            <w:tcW w:w="1947" w:type="dxa"/>
            <w:gridSpan w:val="4"/>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联系电话</w:t>
            </w:r>
          </w:p>
        </w:tc>
        <w:tc>
          <w:tcPr>
            <w:tcW w:w="3161" w:type="dxa"/>
            <w:gridSpan w:val="4"/>
            <w:vAlign w:val="center"/>
          </w:tcPr>
          <w:p>
            <w:pPr>
              <w:pStyle w:val="2"/>
              <w:snapToGrid w:val="0"/>
              <w:jc w:val="center"/>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21"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小鼠编号</w:t>
            </w:r>
          </w:p>
        </w:tc>
        <w:tc>
          <w:tcPr>
            <w:tcW w:w="1560"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品系全称</w:t>
            </w:r>
          </w:p>
        </w:tc>
        <w:tc>
          <w:tcPr>
            <w:tcW w:w="990"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品系简称</w:t>
            </w:r>
          </w:p>
        </w:tc>
        <w:tc>
          <w:tcPr>
            <w:tcW w:w="1565" w:type="dxa"/>
            <w:gridSpan w:val="4"/>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基因型</w:t>
            </w:r>
          </w:p>
        </w:tc>
        <w:tc>
          <w:tcPr>
            <w:tcW w:w="1168"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遗传背景</w:t>
            </w:r>
          </w:p>
        </w:tc>
        <w:tc>
          <w:tcPr>
            <w:tcW w:w="778"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数量</w:t>
            </w:r>
          </w:p>
        </w:tc>
        <w:tc>
          <w:tcPr>
            <w:tcW w:w="1005"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雌/雄</w:t>
            </w:r>
          </w:p>
        </w:tc>
        <w:tc>
          <w:tcPr>
            <w:tcW w:w="1409" w:type="dxa"/>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396" w:type="dxa"/>
            <w:gridSpan w:val="15"/>
            <w:vAlign w:val="center"/>
          </w:tcPr>
          <w:p>
            <w:pPr>
              <w:pStyle w:val="2"/>
              <w:snapToGrid w:val="0"/>
              <w:jc w:val="left"/>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Genoty</w:t>
            </w:r>
            <w:r>
              <w:rPr>
                <w:rFonts w:asciiTheme="minorHAnsi" w:hAnsiTheme="minorEastAsia" w:eastAsiaTheme="minorEastAsia" w:cstheme="minorEastAsia"/>
                <w:sz w:val="24"/>
                <w:szCs w:val="24"/>
              </w:rPr>
              <w:t>ping</w:t>
            </w:r>
            <w:r>
              <w:rPr>
                <w:rFonts w:hint="eastAsia" w:asciiTheme="minorHAnsi" w:hAnsiTheme="minorEastAsia" w:eastAsiaTheme="minorEastAsia" w:cstheme="minorEastAsia"/>
                <w:sz w:val="24"/>
                <w:szCs w:val="24"/>
              </w:rPr>
              <w:t>结果（附胶图）：</w:t>
            </w:r>
          </w:p>
          <w:p>
            <w:pPr>
              <w:pStyle w:val="2"/>
              <w:snapToGrid w:val="0"/>
              <w:jc w:val="left"/>
              <w:rPr>
                <w:rFonts w:asciiTheme="minorHAnsi" w:hAnsiTheme="minorEastAsia" w:eastAsiaTheme="minorEastAsia" w:cstheme="minorEastAsia"/>
                <w:sz w:val="24"/>
                <w:szCs w:val="24"/>
              </w:rPr>
            </w:pPr>
          </w:p>
          <w:p>
            <w:pPr>
              <w:pStyle w:val="2"/>
              <w:snapToGrid w:val="0"/>
              <w:jc w:val="left"/>
              <w:rPr>
                <w:rFonts w:asciiTheme="minorHAnsi" w:hAnsiTheme="minorEastAsia" w:eastAsiaTheme="minorEastAsia" w:cstheme="minorEastAsia"/>
                <w:sz w:val="24"/>
                <w:szCs w:val="24"/>
              </w:rPr>
            </w:pPr>
          </w:p>
          <w:p>
            <w:pPr>
              <w:pStyle w:val="2"/>
              <w:snapToGrid w:val="0"/>
              <w:jc w:val="left"/>
              <w:rPr>
                <w:rFonts w:asciiTheme="minorHAnsi" w:hAnsiTheme="minorEastAsia" w:eastAsiaTheme="minorEastAsia" w:cstheme="minorEastAsia"/>
                <w:sz w:val="24"/>
                <w:szCs w:val="24"/>
              </w:rPr>
            </w:pPr>
          </w:p>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481" w:type="dxa"/>
            <w:gridSpan w:val="3"/>
            <w:vAlign w:val="center"/>
          </w:tcPr>
          <w:p>
            <w:pPr>
              <w:rPr>
                <w:rFonts w:hAnsiTheme="minorEastAsia" w:cstheme="minorEastAsia"/>
                <w:sz w:val="24"/>
              </w:rPr>
            </w:pPr>
            <w:r>
              <w:rPr>
                <w:rFonts w:hint="eastAsia" w:hAnsiTheme="minorEastAsia" w:cstheme="minorEastAsia"/>
                <w:sz w:val="24"/>
              </w:rPr>
              <w:t>小鼠健康状况</w:t>
            </w:r>
          </w:p>
        </w:tc>
        <w:tc>
          <w:tcPr>
            <w:tcW w:w="6915" w:type="dxa"/>
            <w:gridSpan w:val="12"/>
            <w:vAlign w:val="center"/>
          </w:tcPr>
          <w:p>
            <w:pPr>
              <w:ind w:firstLine="240" w:firstLineChars="100"/>
              <w:rPr>
                <w:rFonts w:hAnsiTheme="minorEastAsia" w:cstheme="minorEastAsia"/>
                <w:sz w:val="24"/>
              </w:rPr>
            </w:pPr>
            <w:r>
              <w:rPr>
                <w:rFonts w:hint="eastAsia" w:hAnsiTheme="minorEastAsia" w:cstheme="minorEastAsia"/>
                <w:color w:val="000000"/>
                <w:kern w:val="0"/>
                <w:sz w:val="24"/>
              </w:rPr>
              <w:t xml:space="preserve">□ 好            □ 一般           □ 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481" w:type="dxa"/>
            <w:gridSpan w:val="3"/>
            <w:vAlign w:val="center"/>
          </w:tcPr>
          <w:p>
            <w:pPr>
              <w:rPr>
                <w:rFonts w:hint="eastAsia" w:hAnsiTheme="minorEastAsia" w:cstheme="minorEastAsia"/>
                <w:sz w:val="24"/>
              </w:rPr>
            </w:pPr>
            <w:r>
              <w:rPr>
                <w:rFonts w:hint="eastAsia" w:hAnsiTheme="minorEastAsia" w:cstheme="minorEastAsia"/>
                <w:sz w:val="24"/>
                <w:lang w:val="en-US" w:eastAsia="zh-CN"/>
              </w:rPr>
              <w:t>是否能提供健康报告</w:t>
            </w:r>
          </w:p>
        </w:tc>
        <w:tc>
          <w:tcPr>
            <w:tcW w:w="6915" w:type="dxa"/>
            <w:gridSpan w:val="12"/>
            <w:vAlign w:val="center"/>
          </w:tcPr>
          <w:p>
            <w:pPr>
              <w:ind w:firstLine="240" w:firstLineChars="100"/>
              <w:jc w:val="both"/>
              <w:rPr>
                <w:rFonts w:hint="eastAsia" w:hAnsiTheme="minorEastAsia" w:cstheme="minorEastAsia"/>
                <w:color w:val="000000"/>
                <w:kern w:val="0"/>
                <w:sz w:val="24"/>
              </w:rPr>
            </w:pPr>
            <w:r>
              <w:rPr>
                <w:rFonts w:hint="eastAsia" w:hAnsiTheme="minorEastAsia" w:cstheme="minorEastAsia"/>
                <w:color w:val="000000"/>
                <w:kern w:val="0"/>
                <w:sz w:val="24"/>
                <w:lang w:eastAsia="zh-CN"/>
              </w:rPr>
              <w:t>□</w:t>
            </w:r>
            <w:r>
              <w:rPr>
                <w:rFonts w:hint="eastAsia" w:hAnsiTheme="minorEastAsia" w:cstheme="minorEastAsia"/>
                <w:color w:val="000000"/>
                <w:kern w:val="0"/>
                <w:sz w:val="24"/>
              </w:rPr>
              <w:t xml:space="preserve">是            </w:t>
            </w:r>
            <w:r>
              <w:rPr>
                <w:rFonts w:hint="eastAsia" w:hAnsiTheme="minorEastAsia" w:cstheme="minorEastAsia"/>
                <w:color w:val="000000"/>
                <w:kern w:val="0"/>
                <w:sz w:val="24"/>
                <w:lang w:val="en-US" w:eastAsia="zh-CN"/>
              </w:rPr>
              <w:t xml:space="preserve"> </w:t>
            </w:r>
            <w:r>
              <w:rPr>
                <w:rFonts w:hint="eastAsia" w:hAnsiTheme="minorEastAsia" w:cstheme="minorEastAsia"/>
                <w:color w:val="000000"/>
                <w:kern w:val="0"/>
                <w:sz w:val="24"/>
                <w:lang w:eastAsia="zh-CN"/>
              </w:rPr>
              <w:t>□</w:t>
            </w:r>
            <w:r>
              <w:rPr>
                <w:rFonts w:hint="eastAsia" w:hAnsiTheme="minorEastAsia" w:cstheme="minorEastAsia"/>
                <w:color w:val="000000"/>
                <w:kern w:val="0"/>
                <w:sz w:val="24"/>
              </w:rPr>
              <w:t>否</w:t>
            </w:r>
            <w:r>
              <w:rPr>
                <w:rFonts w:hint="eastAsia" w:hAnsiTheme="minorEastAsia" w:cstheme="minorEastAsia"/>
                <w:color w:val="000000"/>
                <w:kern w:val="0"/>
                <w:sz w:val="24"/>
                <w:lang w:eastAsia="zh-CN"/>
              </w:rPr>
              <w:t>，</w:t>
            </w:r>
            <w:r>
              <w:rPr>
                <w:rFonts w:hint="eastAsia" w:hAnsiTheme="minorEastAsia" w:cstheme="minorEastAsia"/>
                <w:color w:val="000000"/>
                <w:kern w:val="0"/>
                <w:sz w:val="24"/>
                <w:lang w:val="en-US" w:eastAsia="zh-CN"/>
              </w:rPr>
              <w:t>PI签字</w:t>
            </w:r>
            <w:r>
              <w:rPr>
                <w:rFonts w:hint="eastAsia" w:hAnsiTheme="minorEastAsia" w:cstheme="minorEastAsia"/>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2481" w:type="dxa"/>
            <w:gridSpan w:val="3"/>
            <w:vAlign w:val="center"/>
          </w:tcPr>
          <w:p>
            <w:pPr>
              <w:rPr>
                <w:rFonts w:hAnsiTheme="minorEastAsia" w:cstheme="minorEastAsia"/>
                <w:sz w:val="24"/>
              </w:rPr>
            </w:pPr>
            <w:r>
              <w:rPr>
                <w:rFonts w:hint="eastAsia" w:hAnsiTheme="minorEastAsia" w:cstheme="minorEastAsia"/>
                <w:sz w:val="24"/>
              </w:rPr>
              <w:t>胚胎冷冻方案选择（</w:t>
            </w:r>
            <w:r>
              <w:rPr>
                <w:rFonts w:hint="eastAsia" w:hAnsiTheme="minorEastAsia" w:cstheme="minorEastAsia"/>
                <w:sz w:val="18"/>
                <w:szCs w:val="18"/>
              </w:rPr>
              <w:t>详情见填表说明</w:t>
            </w:r>
            <w:r>
              <w:rPr>
                <w:rFonts w:hint="eastAsia" w:hAnsiTheme="minorEastAsia" w:cstheme="minorEastAsia"/>
                <w:sz w:val="24"/>
              </w:rPr>
              <w:t>）</w:t>
            </w:r>
          </w:p>
        </w:tc>
        <w:tc>
          <w:tcPr>
            <w:tcW w:w="6915" w:type="dxa"/>
            <w:gridSpan w:val="12"/>
            <w:vAlign w:val="center"/>
          </w:tcPr>
          <w:p>
            <w:pPr>
              <w:ind w:firstLine="240" w:firstLineChars="100"/>
              <w:rPr>
                <w:rFonts w:hAnsiTheme="minorEastAsia" w:cstheme="minorEastAsia"/>
                <w:sz w:val="24"/>
              </w:rPr>
            </w:pPr>
            <w:r>
              <w:rPr>
                <w:rFonts w:hint="eastAsia" w:hAnsiTheme="minorEastAsia" w:cstheme="minorEastAsia"/>
                <w:color w:val="000000"/>
                <w:kern w:val="0"/>
                <w:sz w:val="24"/>
              </w:rPr>
              <w:t xml:space="preserve">□方案一                  </w:t>
            </w:r>
            <w:r>
              <w:rPr>
                <w:rFonts w:hint="eastAsia" w:hAnsiTheme="minorEastAsia" w:cstheme="minorEastAsia"/>
                <w:sz w:val="24"/>
              </w:rPr>
              <w:t>□方案二</w:t>
            </w:r>
          </w:p>
          <w:p>
            <w:pPr>
              <w:ind w:firstLine="240" w:firstLineChars="100"/>
              <w:rPr>
                <w:rFonts w:hAnsiTheme="minorEastAsia" w:cstheme="minorEastAsia"/>
                <w:sz w:val="24"/>
              </w:rPr>
            </w:pPr>
          </w:p>
          <w:p>
            <w:pPr>
              <w:ind w:firstLine="240" w:firstLineChars="100"/>
              <w:rPr>
                <w:rFonts w:hAnsiTheme="minorEastAsia" w:cstheme="minorEastAsia"/>
                <w:sz w:val="24"/>
              </w:rPr>
            </w:pPr>
            <w:r>
              <w:rPr>
                <w:rFonts w:hint="eastAsia" w:hAnsiTheme="minorEastAsia" w:cstheme="minorEastAsia"/>
                <w:color w:val="000000"/>
                <w:kern w:val="0"/>
                <w:sz w:val="24"/>
              </w:rPr>
              <w:t xml:space="preserve">□方案三                  </w:t>
            </w:r>
            <w:r>
              <w:rPr>
                <w:rFonts w:hint="eastAsia" w:hAnsiTheme="minorEastAsia" w:cstheme="minorEastAsia"/>
                <w:sz w:val="24"/>
              </w:rPr>
              <w:t>□方案四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481" w:type="dxa"/>
            <w:gridSpan w:val="3"/>
            <w:vAlign w:val="center"/>
          </w:tcPr>
          <w:p>
            <w:pPr>
              <w:rPr>
                <w:rFonts w:hAnsiTheme="minorEastAsia" w:cstheme="minorEastAsia"/>
                <w:sz w:val="24"/>
              </w:rPr>
            </w:pPr>
            <w:r>
              <w:rPr>
                <w:rFonts w:hint="eastAsia" w:hAnsiTheme="minorEastAsia" w:cstheme="minorEastAsia"/>
                <w:sz w:val="24"/>
              </w:rPr>
              <w:t>复苏验证后代是否保留</w:t>
            </w:r>
          </w:p>
        </w:tc>
        <w:tc>
          <w:tcPr>
            <w:tcW w:w="6915" w:type="dxa"/>
            <w:gridSpan w:val="12"/>
            <w:vAlign w:val="center"/>
          </w:tcPr>
          <w:p>
            <w:pPr>
              <w:ind w:firstLine="240" w:firstLineChars="100"/>
              <w:rPr>
                <w:rFonts w:hAnsiTheme="minorEastAsia" w:cstheme="minorEastAsia"/>
                <w:sz w:val="24"/>
              </w:rPr>
            </w:pPr>
            <w:r>
              <w:rPr>
                <w:rFonts w:hint="eastAsia" w:hAnsiTheme="minorEastAsia" w:cstheme="minorEastAsia"/>
                <w:color w:val="000000"/>
                <w:kern w:val="0"/>
                <w:sz w:val="24"/>
              </w:rPr>
              <w:t>□ 保留，并提供给申请人   □ 不保留，剪尾后处理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481" w:type="dxa"/>
            <w:gridSpan w:val="3"/>
            <w:vAlign w:val="center"/>
          </w:tcPr>
          <w:p>
            <w:pPr>
              <w:rPr>
                <w:rFonts w:hAnsiTheme="minorEastAsia" w:cstheme="minorEastAsia"/>
                <w:sz w:val="24"/>
              </w:rPr>
            </w:pPr>
            <w:r>
              <w:rPr>
                <w:rFonts w:hint="eastAsia" w:hAnsiTheme="minorEastAsia" w:cstheme="minorEastAsia"/>
                <w:sz w:val="24"/>
              </w:rPr>
              <w:t>供体雌鼠品系（</w:t>
            </w:r>
            <w:r>
              <w:rPr>
                <w:rFonts w:hint="eastAsia" w:hAnsiTheme="minorEastAsia" w:cstheme="minorEastAsia"/>
                <w:sz w:val="18"/>
                <w:szCs w:val="18"/>
              </w:rPr>
              <w:t>选择方案一须填写此项</w:t>
            </w:r>
            <w:r>
              <w:rPr>
                <w:rFonts w:hint="eastAsia" w:hAnsiTheme="minorEastAsia" w:cstheme="minorEastAsia"/>
                <w:sz w:val="24"/>
              </w:rPr>
              <w:t>）</w:t>
            </w:r>
          </w:p>
        </w:tc>
        <w:tc>
          <w:tcPr>
            <w:tcW w:w="6915" w:type="dxa"/>
            <w:gridSpan w:val="12"/>
            <w:vAlign w:val="center"/>
          </w:tcPr>
          <w:p>
            <w:pPr>
              <w:ind w:firstLine="240" w:firstLineChars="100"/>
              <w:rPr>
                <w:rFonts w:hAnsiTheme="minorEastAsia" w:cstheme="minorEastAsia"/>
                <w:color w:val="000000"/>
                <w:kern w:val="0"/>
                <w:sz w:val="24"/>
              </w:rPr>
            </w:pPr>
            <w:r>
              <w:rPr>
                <w:rFonts w:hint="eastAsia" w:hAnsiTheme="minorEastAsia" w:cstheme="minorEastAsia"/>
                <w:color w:val="000000"/>
                <w:kern w:val="0"/>
                <w:sz w:val="24"/>
              </w:rPr>
              <w:t>□C57BL/6J      □C57BL/6N     □其他（</w:t>
            </w:r>
            <w:r>
              <w:rPr>
                <w:rFonts w:hint="eastAsia" w:hAnsiTheme="minorEastAsia" w:cstheme="minorEastAsia"/>
                <w:color w:val="000000"/>
                <w:kern w:val="0"/>
                <w:sz w:val="18"/>
                <w:szCs w:val="18"/>
              </w:rPr>
              <w:t>请备注具体品系</w:t>
            </w:r>
            <w:r>
              <w:rPr>
                <w:rFonts w:hint="eastAsia" w:hAnsiTheme="minorEastAsia" w:cstheme="minor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481" w:type="dxa"/>
            <w:gridSpan w:val="3"/>
            <w:vAlign w:val="center"/>
          </w:tcPr>
          <w:p>
            <w:pPr>
              <w:rPr>
                <w:rFonts w:hAnsiTheme="minorEastAsia" w:cstheme="minorEastAsia"/>
                <w:sz w:val="24"/>
              </w:rPr>
            </w:pPr>
            <w:r>
              <w:rPr>
                <w:rFonts w:hint="eastAsia" w:hAnsiTheme="minorEastAsia" w:cstheme="minorEastAsia"/>
                <w:sz w:val="24"/>
              </w:rPr>
              <w:t>是否可做为脑中心公共品系</w:t>
            </w:r>
          </w:p>
        </w:tc>
        <w:tc>
          <w:tcPr>
            <w:tcW w:w="6915" w:type="dxa"/>
            <w:gridSpan w:val="12"/>
            <w:vAlign w:val="center"/>
          </w:tcPr>
          <w:p>
            <w:pPr>
              <w:ind w:firstLine="240" w:firstLineChars="100"/>
              <w:rPr>
                <w:rFonts w:hAnsiTheme="minorEastAsia" w:cstheme="minorEastAsia"/>
                <w:color w:val="000000"/>
                <w:kern w:val="0"/>
                <w:sz w:val="24"/>
              </w:rPr>
            </w:pPr>
            <w:r>
              <w:rPr>
                <w:rFonts w:hint="eastAsia" w:hAnsiTheme="minorEastAsia" w:cstheme="minorEastAsia"/>
                <w:color w:val="000000"/>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396" w:type="dxa"/>
            <w:gridSpan w:val="15"/>
          </w:tcPr>
          <w:p>
            <w:pPr>
              <w:rPr>
                <w:rFonts w:hAnsiTheme="minorEastAsia" w:cstheme="minorEastAsia"/>
                <w:sz w:val="24"/>
              </w:rPr>
            </w:pPr>
            <w:r>
              <w:rPr>
                <w:rFonts w:hint="eastAsia" w:hAnsi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396"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申请人（签字）</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396"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邮件发送并抄送PI</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396" w:type="dxa"/>
            <w:gridSpan w:val="15"/>
            <w:vAlign w:val="center"/>
          </w:tcPr>
          <w:p>
            <w:pPr>
              <w:pStyle w:val="2"/>
              <w:snapToGrid w:val="0"/>
              <w:jc w:val="left"/>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实验动物中心主任（签字）</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396" w:type="dxa"/>
            <w:gridSpan w:val="15"/>
            <w:vAlign w:val="center"/>
          </w:tcPr>
          <w:p>
            <w:pPr>
              <w:jc w:val="left"/>
              <w:rPr>
                <w:rFonts w:hAnsiTheme="minorEastAsia" w:cstheme="minorEastAsia"/>
                <w:sz w:val="24"/>
              </w:rPr>
            </w:pPr>
            <w:r>
              <w:rPr>
                <w:rFonts w:hint="eastAsia" w:hAnsiTheme="minorEastAsia" w:cstheme="minorEastAsia"/>
                <w:sz w:val="24"/>
              </w:rPr>
              <w:t>以下由实验动物中心填写：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42" w:type="dxa"/>
            <w:gridSpan w:val="2"/>
            <w:vAlign w:val="center"/>
          </w:tcPr>
          <w:p>
            <w:pPr>
              <w:jc w:val="center"/>
              <w:rPr>
                <w:rFonts w:hAnsiTheme="minorEastAsia" w:cstheme="minorEastAsia"/>
                <w:sz w:val="24"/>
              </w:rPr>
            </w:pPr>
            <w:r>
              <w:rPr>
                <w:rFonts w:hint="eastAsia" w:hAnsiTheme="minorEastAsia" w:cstheme="minorEastAsia"/>
                <w:sz w:val="24"/>
              </w:rPr>
              <w:t>收表日期</w:t>
            </w:r>
          </w:p>
        </w:tc>
        <w:tc>
          <w:tcPr>
            <w:tcW w:w="3142" w:type="dxa"/>
            <w:gridSpan w:val="6"/>
            <w:vAlign w:val="center"/>
          </w:tcPr>
          <w:p>
            <w:pPr>
              <w:jc w:val="left"/>
              <w:rPr>
                <w:rFonts w:hAnsiTheme="minorEastAsia" w:cstheme="minorEastAsia"/>
                <w:sz w:val="24"/>
              </w:rPr>
            </w:pPr>
          </w:p>
        </w:tc>
        <w:tc>
          <w:tcPr>
            <w:tcW w:w="2598" w:type="dxa"/>
            <w:gridSpan w:val="4"/>
            <w:vAlign w:val="center"/>
          </w:tcPr>
          <w:p>
            <w:pPr>
              <w:jc w:val="center"/>
              <w:rPr>
                <w:rFonts w:hAnsiTheme="minorEastAsia" w:cstheme="minorEastAsia"/>
                <w:sz w:val="24"/>
              </w:rPr>
            </w:pPr>
            <w:r>
              <w:rPr>
                <w:rFonts w:hint="eastAsia" w:hAnsiTheme="minorEastAsia" w:cstheme="minorEastAsia"/>
                <w:sz w:val="24"/>
              </w:rPr>
              <w:t>技术员姓名</w:t>
            </w:r>
          </w:p>
        </w:tc>
        <w:tc>
          <w:tcPr>
            <w:tcW w:w="2414" w:type="dxa"/>
            <w:gridSpan w:val="3"/>
          </w:tcPr>
          <w:p>
            <w:pPr>
              <w:jc w:val="left"/>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396" w:type="dxa"/>
            <w:gridSpan w:val="15"/>
            <w:vAlign w:val="center"/>
          </w:tcPr>
          <w:p>
            <w:pPr>
              <w:jc w:val="left"/>
              <w:rPr>
                <w:rFonts w:hAnsiTheme="minorEastAsia" w:cstheme="minorEastAsia"/>
                <w:sz w:val="24"/>
              </w:rPr>
            </w:pPr>
            <w:r>
              <w:rPr>
                <w:rFonts w:hint="eastAsia" w:hAnsiTheme="minorEastAsia" w:cstheme="minorEastAsia"/>
                <w:sz w:val="24"/>
              </w:rPr>
              <w:t>实验动物中心主任（签字）：</w:t>
            </w:r>
          </w:p>
          <w:p>
            <w:pPr>
              <w:jc w:val="left"/>
              <w:rPr>
                <w:rFonts w:hAnsiTheme="minorEastAsia" w:cstheme="minorEastAsia"/>
                <w:sz w:val="24"/>
              </w:rPr>
            </w:pPr>
            <w:r>
              <w:rPr>
                <w:rFonts w:hint="eastAsia" w:hAnsiTheme="minorEastAsia" w:cstheme="minorEastAsia"/>
                <w:sz w:val="24"/>
              </w:rPr>
              <w:t xml:space="preserve">                                           日期：</w:t>
            </w:r>
          </w:p>
        </w:tc>
      </w:tr>
    </w:tbl>
    <w:p>
      <w:pPr>
        <w:tabs>
          <w:tab w:val="left" w:pos="2265"/>
        </w:tabs>
        <w:spacing w:line="360" w:lineRule="auto"/>
        <w:jc w:val="left"/>
        <w:rPr>
          <w:rFonts w:ascii="Times New Roman" w:hAnsi="Times New Roman" w:eastAsia="仿宋" w:cs="Times New Roman"/>
          <w:szCs w:val="21"/>
        </w:rPr>
      </w:pPr>
    </w:p>
    <w:p>
      <w:pPr>
        <w:tabs>
          <w:tab w:val="left" w:pos="2265"/>
        </w:tabs>
        <w:spacing w:line="360" w:lineRule="auto"/>
        <w:jc w:val="left"/>
        <w:rPr>
          <w:rFonts w:ascii="Times New Roman" w:hAnsi="Times New Roman" w:cs="Times New Roman"/>
        </w:rPr>
      </w:pPr>
      <w:r>
        <w:rPr>
          <w:rFonts w:ascii="Times New Roman" w:hAnsi="Times New Roman" w:eastAsia="仿宋" w:cs="Times New Roman"/>
          <w:szCs w:val="21"/>
        </w:rPr>
        <w:t>填表说明：</w:t>
      </w:r>
    </w:p>
    <w:p>
      <w:pPr>
        <w:pStyle w:val="10"/>
        <w:tabs>
          <w:tab w:val="left" w:pos="567"/>
        </w:tabs>
        <w:spacing w:line="400" w:lineRule="exact"/>
        <w:ind w:firstLine="0" w:firstLineChars="0"/>
        <w:jc w:val="left"/>
        <w:rPr>
          <w:rFonts w:ascii="Arial" w:hAnsi="Arial" w:eastAsia="仿宋" w:cs="Arial"/>
          <w:color w:val="000000" w:themeColor="text1"/>
          <w:kern w:val="0"/>
          <w:szCs w:val="21"/>
          <w14:textFill>
            <w14:solidFill>
              <w14:schemeClr w14:val="tx1"/>
            </w14:solidFill>
          </w14:textFill>
        </w:rPr>
      </w:pPr>
      <w:r>
        <w:rPr>
          <w:rFonts w:hint="eastAsia" w:ascii="Arial" w:hAnsi="Arial" w:eastAsia="仿宋" w:cs="Arial"/>
          <w:color w:val="000000" w:themeColor="text1"/>
          <w:kern w:val="0"/>
          <w:szCs w:val="21"/>
          <w14:textFill>
            <w14:solidFill>
              <w14:schemeClr w14:val="tx1"/>
            </w14:solidFill>
          </w14:textFill>
        </w:rPr>
        <w:t>1）申请表的提交：净化、冻精、冻胚胎的动物，实验室应提前一周将申请表和真实的健康报告或证明材料发送至邮箱mouserederivation@cibr.ac.cn或ratrederivation@cibr.ac.cn, 和rodentveterinarian@cibr.ac.cn并抄送至PI和liwenlong@cibr.ac.cn。未提供真实健康报告的须净化、冻精、冻胚胎的啮齿类动物应由动物提供单位或北京脑中心PI或北京脑中心平台主任保证承诺在过去的12个月内，该动物所在的饲养设施内未发生狂犬病、钩端螺旋体病、土拉杆菌病、猴痘、鼠疫、淋巴细胞脉络丛脑膜炎病毒、肾综合征出血热、汉坦病毒肺综合症和鼠痘等其它须报告疫病或人兽共患病的临床病例。动物提供单位或北京脑中心PI或北京脑中心平台主任须承担上述病原体可能带来的所有风险。如果不能作出以上保证承诺的应采取冷冻精子或胚胎方式运输到北京脑中心</w:t>
      </w:r>
      <w:r>
        <w:rPr>
          <w:rFonts w:hint="eastAsia" w:ascii="Arial" w:hAnsi="Arial" w:eastAsia="仿宋" w:cs="Arial"/>
          <w:color w:val="000000" w:themeColor="text1"/>
          <w:kern w:val="0"/>
          <w:szCs w:val="21"/>
          <w:lang w:val="en-US" w:eastAsia="zh-CN"/>
          <w14:textFill>
            <w14:solidFill>
              <w14:schemeClr w14:val="tx1"/>
            </w14:solidFill>
          </w14:textFill>
        </w:rPr>
        <w:t>.</w:t>
      </w:r>
    </w:p>
    <w:p>
      <w:pPr>
        <w:pStyle w:val="10"/>
        <w:tabs>
          <w:tab w:val="left" w:pos="567"/>
        </w:tabs>
        <w:spacing w:line="400" w:lineRule="exact"/>
        <w:ind w:firstLine="0" w:firstLineChars="0"/>
        <w:jc w:val="left"/>
        <w:rPr>
          <w:rFonts w:ascii="Arial" w:hAnsi="Arial" w:eastAsia="仿宋" w:cs="Arial"/>
          <w:color w:val="000000" w:themeColor="text1"/>
          <w:kern w:val="0"/>
          <w:szCs w:val="21"/>
          <w14:textFill>
            <w14:solidFill>
              <w14:schemeClr w14:val="tx1"/>
            </w14:solidFill>
          </w14:textFill>
        </w:rPr>
      </w:pPr>
      <w:r>
        <w:rPr>
          <w:rFonts w:hint="eastAsia" w:ascii="Arial" w:hAnsi="Arial" w:eastAsia="仿宋" w:cs="Arial"/>
          <w:color w:val="000000" w:themeColor="text1"/>
          <w:kern w:val="0"/>
          <w:szCs w:val="21"/>
          <w14:textFill>
            <w14:solidFill>
              <w14:schemeClr w14:val="tx1"/>
            </w14:solidFill>
          </w14:textFill>
        </w:rPr>
        <w:t>2）供鼠要求：</w:t>
      </w:r>
      <w:r>
        <w:rPr>
          <w:rFonts w:hint="eastAsia" w:ascii="仿宋" w:hAnsi="仿宋" w:eastAsia="仿宋" w:cs="仿宋"/>
          <w:color w:val="000000" w:themeColor="text1"/>
          <w:szCs w:val="21"/>
          <w14:textFill>
            <w14:solidFill>
              <w14:schemeClr w14:val="tx1"/>
            </w14:solidFill>
          </w14:textFill>
        </w:rPr>
        <w:t>（实验室可根据自己实际情况选择最优方案）</w:t>
      </w:r>
    </w:p>
    <w:p>
      <w:pPr>
        <w:pStyle w:val="5"/>
        <w:widowControl/>
        <w:spacing w:beforeAutospacing="0" w:afterAutospacing="0" w:line="400" w:lineRule="exact"/>
        <w:ind w:left="630" w:leftChars="200" w:hanging="210" w:hangingChars="100"/>
        <w:rPr>
          <w:rFonts w:ascii="Arial" w:hAnsi="Arial" w:eastAsia="仿宋" w:cs="Arial"/>
          <w:sz w:val="21"/>
          <w:szCs w:val="21"/>
        </w:rPr>
      </w:pPr>
      <w:r>
        <w:rPr>
          <w:rFonts w:hint="eastAsia" w:ascii="Arial" w:hAnsi="Arial" w:eastAsia="仿宋" w:cs="Arial"/>
          <w:sz w:val="21"/>
          <w:szCs w:val="21"/>
        </w:rPr>
        <w:t>方案一：申请者只提供雄鼠：健康雄鼠至少2只，</w:t>
      </w:r>
      <w:r>
        <w:rPr>
          <w:rFonts w:ascii="仿宋" w:hAnsi="仿宋" w:eastAsia="仿宋" w:cs="仿宋"/>
          <w:sz w:val="21"/>
          <w:szCs w:val="21"/>
        </w:rPr>
        <w:t>9-18</w:t>
      </w:r>
      <w:r>
        <w:rPr>
          <w:rFonts w:hint="eastAsia" w:ascii="仿宋" w:hAnsi="仿宋" w:eastAsia="仿宋" w:cs="仿宋"/>
          <w:sz w:val="21"/>
          <w:szCs w:val="21"/>
        </w:rPr>
        <w:t>周龄</w:t>
      </w:r>
      <w:r>
        <w:rPr>
          <w:rFonts w:hint="eastAsia" w:ascii="Arial" w:hAnsi="Arial" w:eastAsia="仿宋" w:cs="Arial"/>
          <w:sz w:val="21"/>
          <w:szCs w:val="21"/>
        </w:rPr>
        <w:t>（超龄可以尝试）。</w:t>
      </w:r>
      <w:r>
        <w:rPr>
          <w:rFonts w:hint="eastAsia" w:ascii="仿宋" w:hAnsi="仿宋" w:eastAsia="仿宋" w:cs="仿宋"/>
          <w:sz w:val="21"/>
          <w:szCs w:val="21"/>
        </w:rPr>
        <w:t>动物中心提供以下品系雌鼠：</w:t>
      </w:r>
      <w:r>
        <w:rPr>
          <w:rFonts w:hint="eastAsia" w:ascii="Arial" w:hAnsi="Arial" w:eastAsia="仿宋" w:cs="Arial"/>
          <w:color w:val="000000" w:themeColor="text1"/>
          <w:sz w:val="21"/>
          <w:szCs w:val="21"/>
          <w14:textFill>
            <w14:solidFill>
              <w14:schemeClr w14:val="tx1"/>
            </w14:solidFill>
          </w14:textFill>
        </w:rPr>
        <w:t>C57BL/6J(来源：杰克逊实验室，stock number:000664)、C57BL/6N(来源：杰克逊实验室，stock number:005304)、CBA/Caj(来源：杰克逊实验室，stock number:000654)、BALB/c(来源：维通利华)、FVB(来源：维通利华)</w:t>
      </w:r>
      <w:r>
        <w:rPr>
          <w:rFonts w:hint="eastAsia" w:ascii="仿宋" w:hAnsi="仿宋" w:eastAsia="仿宋" w:cs="仿宋"/>
          <w:color w:val="000000" w:themeColor="text1"/>
          <w:sz w:val="21"/>
          <w:szCs w:val="21"/>
          <w14:textFill>
            <w14:solidFill>
              <w14:schemeClr w14:val="tx1"/>
            </w14:solidFill>
          </w14:textFill>
        </w:rPr>
        <w:t>，</w:t>
      </w:r>
      <w:r>
        <w:rPr>
          <w:rFonts w:hint="eastAsia" w:ascii="Arial" w:hAnsi="Arial" w:eastAsia="仿宋" w:cs="Arial"/>
          <w:sz w:val="21"/>
          <w:szCs w:val="21"/>
        </w:rPr>
        <w:t>且为单基因修饰动物。</w:t>
      </w:r>
      <w:r>
        <w:rPr>
          <w:rFonts w:hint="eastAsia" w:ascii="仿宋" w:hAnsi="仿宋" w:eastAsia="仿宋" w:cs="仿宋"/>
          <w:color w:val="000000" w:themeColor="text1"/>
          <w:sz w:val="21"/>
          <w:szCs w:val="21"/>
          <w14:textFill>
            <w14:solidFill>
              <w14:schemeClr w14:val="tx1"/>
            </w14:solidFill>
          </w14:textFill>
        </w:rPr>
        <w:t>（雄鼠需处死）</w:t>
      </w:r>
    </w:p>
    <w:p>
      <w:pPr>
        <w:pStyle w:val="5"/>
        <w:widowControl/>
        <w:spacing w:beforeAutospacing="0" w:afterAutospacing="0" w:line="400" w:lineRule="exact"/>
        <w:ind w:left="630" w:leftChars="200" w:hanging="210" w:hangingChars="100"/>
        <w:rPr>
          <w:rFonts w:ascii="Arial" w:hAnsi="Arial" w:eastAsia="仿宋" w:cs="Arial"/>
          <w:color w:val="2F5597" w:themeColor="accent5" w:themeShade="BF"/>
          <w:sz w:val="21"/>
          <w:szCs w:val="21"/>
        </w:rPr>
      </w:pPr>
      <w:r>
        <w:rPr>
          <w:rFonts w:hint="eastAsia" w:ascii="Arial" w:hAnsi="Arial" w:eastAsia="仿宋" w:cs="Arial"/>
          <w:sz w:val="21"/>
          <w:szCs w:val="21"/>
        </w:rPr>
        <w:t>方案二：申请者雄雌均提供：健康雄鼠至少2只，</w:t>
      </w:r>
      <w:r>
        <w:rPr>
          <w:rFonts w:hint="eastAsia" w:ascii="仿宋" w:hAnsi="仿宋" w:eastAsia="仿宋" w:cs="仿宋"/>
          <w:sz w:val="21"/>
          <w:szCs w:val="21"/>
        </w:rPr>
        <w:t>3-6月龄</w:t>
      </w:r>
      <w:r>
        <w:rPr>
          <w:rFonts w:hint="eastAsia" w:ascii="Arial" w:hAnsi="Arial" w:eastAsia="仿宋" w:cs="Arial"/>
          <w:sz w:val="21"/>
          <w:szCs w:val="21"/>
        </w:rPr>
        <w:t>（超龄可以尝试），雌鼠3-4周龄，20只以上。品系背景不常见，且为多基因修饰动物。</w:t>
      </w:r>
      <w:r>
        <w:rPr>
          <w:rFonts w:hint="eastAsia" w:ascii="仿宋" w:hAnsi="仿宋" w:eastAsia="仿宋" w:cs="仿宋"/>
          <w:color w:val="000000" w:themeColor="text1"/>
          <w:sz w:val="21"/>
          <w:szCs w:val="21"/>
          <w14:textFill>
            <w14:solidFill>
              <w14:schemeClr w14:val="tx1"/>
            </w14:solidFill>
          </w14:textFill>
        </w:rPr>
        <w:t>（雌鼠和雄鼠均需处死）</w:t>
      </w:r>
    </w:p>
    <w:p>
      <w:pPr>
        <w:pStyle w:val="5"/>
        <w:widowControl/>
        <w:spacing w:beforeAutospacing="0" w:afterAutospacing="0" w:line="400" w:lineRule="exact"/>
        <w:ind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方案三：</w:t>
      </w:r>
      <w:r>
        <w:rPr>
          <w:rFonts w:hint="eastAsia" w:ascii="Arial" w:hAnsi="Arial" w:eastAsia="仿宋" w:cs="Arial"/>
          <w:color w:val="000000" w:themeColor="text1"/>
          <w:sz w:val="21"/>
          <w:szCs w:val="21"/>
          <w14:textFill>
            <w14:solidFill>
              <w14:schemeClr w14:val="tx1"/>
            </w14:solidFill>
          </w14:textFill>
        </w:rPr>
        <w:t>申请者</w:t>
      </w:r>
      <w:r>
        <w:rPr>
          <w:rFonts w:hint="eastAsia" w:ascii="仿宋" w:hAnsi="仿宋" w:eastAsia="仿宋" w:cs="仿宋"/>
          <w:color w:val="000000" w:themeColor="text1"/>
          <w:sz w:val="21"/>
          <w:szCs w:val="21"/>
          <w14:textFill>
            <w14:solidFill>
              <w14:schemeClr w14:val="tx1"/>
            </w14:solidFill>
          </w14:textFill>
        </w:rPr>
        <w:t>雌雄均提供：健康雄鼠至少10只，</w:t>
      </w:r>
      <w:r>
        <w:rPr>
          <w:rFonts w:hint="eastAsia" w:ascii="仿宋" w:hAnsi="仿宋" w:eastAsia="仿宋" w:cs="仿宋"/>
          <w:sz w:val="21"/>
          <w:szCs w:val="21"/>
        </w:rPr>
        <w:t>3-6月龄</w:t>
      </w:r>
      <w:r>
        <w:rPr>
          <w:rFonts w:hint="eastAsia" w:ascii="仿宋" w:hAnsi="仿宋" w:eastAsia="仿宋" w:cs="仿宋"/>
          <w:color w:val="000000" w:themeColor="text1"/>
          <w:sz w:val="21"/>
          <w:szCs w:val="21"/>
          <w14:textFill>
            <w14:solidFill>
              <w14:schemeClr w14:val="tx1"/>
            </w14:solidFill>
          </w14:textFill>
        </w:rPr>
        <w:t>（具有较强的交配能力，试验成功后可拿走），雌鼠3-4周龄，至少20只。（雄鼠较为珍贵，不处死，雌鼠需处死取胚胎）。</w:t>
      </w:r>
    </w:p>
    <w:p>
      <w:pPr>
        <w:pStyle w:val="5"/>
        <w:widowControl/>
        <w:spacing w:beforeAutospacing="0" w:afterAutospacing="0" w:line="400" w:lineRule="exact"/>
        <w:ind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方案四：</w:t>
      </w:r>
      <w:r>
        <w:rPr>
          <w:rFonts w:hint="eastAsia" w:ascii="Arial" w:hAnsi="Arial" w:eastAsia="仿宋" w:cs="Arial"/>
          <w:color w:val="000000" w:themeColor="text1"/>
          <w:sz w:val="21"/>
          <w:szCs w:val="21"/>
          <w14:textFill>
            <w14:solidFill>
              <w14:schemeClr w14:val="tx1"/>
            </w14:solidFill>
          </w14:textFill>
        </w:rPr>
        <w:t>申请者只提供雄鼠：健康雄鼠至少10只</w:t>
      </w:r>
      <w:r>
        <w:rPr>
          <w:rFonts w:hint="eastAsia" w:ascii="仿宋" w:hAnsi="仿宋" w:eastAsia="仿宋" w:cs="仿宋"/>
          <w:color w:val="000000" w:themeColor="text1"/>
          <w:sz w:val="21"/>
          <w:szCs w:val="21"/>
          <w14:textFill>
            <w14:solidFill>
              <w14:schemeClr w14:val="tx1"/>
            </w14:solidFill>
          </w14:textFill>
        </w:rPr>
        <w:t>，</w:t>
      </w:r>
      <w:r>
        <w:rPr>
          <w:rFonts w:ascii="仿宋" w:hAnsi="仿宋" w:eastAsia="仿宋" w:cs="仿宋"/>
          <w:sz w:val="21"/>
          <w:szCs w:val="21"/>
        </w:rPr>
        <w:t>9-18</w:t>
      </w:r>
      <w:r>
        <w:rPr>
          <w:rFonts w:hint="eastAsia" w:ascii="仿宋" w:hAnsi="仿宋" w:eastAsia="仿宋" w:cs="仿宋"/>
          <w:sz w:val="21"/>
          <w:szCs w:val="21"/>
        </w:rPr>
        <w:t>周龄</w:t>
      </w:r>
      <w:r>
        <w:rPr>
          <w:rFonts w:hint="eastAsia" w:ascii="Arial" w:hAnsi="Arial" w:eastAsia="仿宋" w:cs="Arial"/>
          <w:color w:val="000000" w:themeColor="text1"/>
          <w:sz w:val="21"/>
          <w:szCs w:val="21"/>
          <w14:textFill>
            <w14:solidFill>
              <w14:schemeClr w14:val="tx1"/>
            </w14:solidFill>
          </w14:textFill>
        </w:rPr>
        <w:t>（超龄可以尝试</w:t>
      </w:r>
      <w:r>
        <w:rPr>
          <w:rFonts w:hint="eastAsia" w:ascii="仿宋" w:hAnsi="仿宋" w:eastAsia="仿宋" w:cs="仿宋"/>
          <w:color w:val="000000" w:themeColor="text1"/>
          <w:sz w:val="21"/>
          <w:szCs w:val="21"/>
          <w14:textFill>
            <w14:solidFill>
              <w14:schemeClr w14:val="tx1"/>
            </w14:solidFill>
          </w14:textFill>
        </w:rPr>
        <w:t>，具有较强的交配能力，试验成功后可拿走</w:t>
      </w:r>
      <w:r>
        <w:rPr>
          <w:rFonts w:hint="eastAsia" w:ascii="Arial" w:hAnsi="Arial" w:eastAsia="仿宋" w:cs="Arial"/>
          <w:color w:val="000000" w:themeColor="text1"/>
          <w:sz w:val="21"/>
          <w:szCs w:val="21"/>
          <w14:textFill>
            <w14:solidFill>
              <w14:schemeClr w14:val="tx1"/>
            </w14:solidFill>
          </w14:textFill>
        </w:rPr>
        <w:t>）。</w:t>
      </w:r>
      <w:r>
        <w:rPr>
          <w:rFonts w:hint="eastAsia" w:ascii="仿宋" w:hAnsi="仿宋" w:eastAsia="仿宋" w:cs="仿宋"/>
          <w:sz w:val="21"/>
          <w:szCs w:val="21"/>
        </w:rPr>
        <w:t>动物中心提供以下品系雌鼠：</w:t>
      </w:r>
      <w:r>
        <w:rPr>
          <w:rFonts w:hint="eastAsia" w:ascii="Arial" w:hAnsi="Arial" w:eastAsia="仿宋" w:cs="Arial"/>
          <w:color w:val="000000" w:themeColor="text1"/>
          <w:sz w:val="21"/>
          <w:szCs w:val="21"/>
          <w14:textFill>
            <w14:solidFill>
              <w14:schemeClr w14:val="tx1"/>
            </w14:solidFill>
          </w14:textFill>
        </w:rPr>
        <w:t>C57BL/6J(来源：杰克逊实验室，stock number:000664)、C57BL/6N(来源：杰克逊实验室，stock number:005304)、CBA/Caj(来源：杰克逊实验室，stock number:000654)、BALB/c(来源：维通利华)、FVB(来源：维通利华)</w:t>
      </w:r>
      <w:r>
        <w:rPr>
          <w:rFonts w:hint="eastAsia" w:ascii="仿宋" w:hAnsi="仿宋" w:eastAsia="仿宋" w:cs="仿宋"/>
          <w:color w:val="000000" w:themeColor="text1"/>
          <w:sz w:val="21"/>
          <w:szCs w:val="21"/>
          <w14:textFill>
            <w14:solidFill>
              <w14:schemeClr w14:val="tx1"/>
            </w14:solidFill>
          </w14:textFill>
        </w:rPr>
        <w:t>，</w:t>
      </w:r>
      <w:r>
        <w:rPr>
          <w:rFonts w:hint="eastAsia" w:ascii="Arial" w:hAnsi="Arial" w:eastAsia="仿宋" w:cs="Arial"/>
          <w:color w:val="000000" w:themeColor="text1"/>
          <w:sz w:val="21"/>
          <w:szCs w:val="21"/>
          <w14:textFill>
            <w14:solidFill>
              <w14:schemeClr w14:val="tx1"/>
            </w14:solidFill>
          </w14:textFill>
        </w:rPr>
        <w:t>且为单基因修饰动物。</w:t>
      </w:r>
      <w:r>
        <w:rPr>
          <w:rFonts w:hint="eastAsia" w:ascii="仿宋" w:hAnsi="仿宋" w:eastAsia="仿宋" w:cs="仿宋"/>
          <w:color w:val="000000" w:themeColor="text1"/>
          <w:sz w:val="21"/>
          <w:szCs w:val="21"/>
          <w14:textFill>
            <w14:solidFill>
              <w14:schemeClr w14:val="tx1"/>
            </w14:solidFill>
          </w14:textFill>
        </w:rPr>
        <w:t>（雄鼠较为珍贵，不处死，雌鼠需处死取胚胎）。</w:t>
      </w:r>
    </w:p>
    <w:p>
      <w:pPr>
        <w:pStyle w:val="5"/>
        <w:widowControl/>
        <w:numPr>
          <w:ilvl w:val="0"/>
          <w:numId w:val="1"/>
        </w:numPr>
        <w:spacing w:beforeAutospacing="0" w:afterAutospacing="0" w:line="400" w:lineRule="exact"/>
        <w:rPr>
          <w:rFonts w:ascii="Arial" w:hAnsi="Arial" w:eastAsia="仿宋" w:cs="Arial"/>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冷冻费用：需本动物中心提供</w:t>
      </w:r>
      <w:r>
        <w:rPr>
          <w:rFonts w:hint="eastAsia" w:ascii="Arial" w:hAnsi="Arial" w:eastAsia="仿宋" w:cs="Arial"/>
          <w:color w:val="000000" w:themeColor="text1"/>
          <w:sz w:val="21"/>
          <w:szCs w:val="21"/>
          <w14:textFill>
            <w14:solidFill>
              <w14:schemeClr w14:val="tx1"/>
            </w14:solidFill>
          </w14:textFill>
        </w:rPr>
        <w:t>C57BL/6J、C57BL/6N、CBA/Caj做供体雌鼠的品系按普通胚胎冷冻费用收取。需用其他品系做供体雌鼠需收取普通胚胎冷冻费用并另外加上购买供体雌鼠的费用。</w:t>
      </w:r>
    </w:p>
    <w:p>
      <w:pPr>
        <w:pStyle w:val="5"/>
        <w:widowControl/>
        <w:numPr>
          <w:ilvl w:val="0"/>
          <w:numId w:val="1"/>
        </w:numPr>
        <w:spacing w:beforeAutospacing="0" w:afterAutospacing="0" w:line="400" w:lineRule="exact"/>
        <w:rPr>
          <w:rFonts w:ascii="Arial" w:hAnsi="Arial" w:eastAsia="仿宋" w:cs="Arial"/>
          <w:color w:val="000000" w:themeColor="text1"/>
          <w:sz w:val="21"/>
          <w:szCs w:val="21"/>
          <w14:textFill>
            <w14:solidFill>
              <w14:schemeClr w14:val="tx1"/>
            </w14:solidFill>
          </w14:textFill>
        </w:rPr>
      </w:pPr>
      <w:r>
        <w:rPr>
          <w:rFonts w:hint="eastAsia" w:ascii="Arial" w:hAnsi="Arial" w:eastAsia="仿宋" w:cs="Arial"/>
          <w:color w:val="000000" w:themeColor="text1"/>
          <w:sz w:val="21"/>
          <w:szCs w:val="21"/>
          <w14:textFill>
            <w14:solidFill>
              <w14:schemeClr w14:val="tx1"/>
            </w14:solidFill>
          </w14:textFill>
        </w:rPr>
        <w:t>冻存胚胎数：</w:t>
      </w:r>
      <w:r>
        <w:rPr>
          <w:rFonts w:hint="eastAsia" w:ascii="Arial" w:hAnsi="Arial" w:eastAsia="仿宋" w:cs="Arial"/>
          <w:color w:val="000000" w:themeColor="text1"/>
          <w:szCs w:val="21"/>
          <w14:textFill>
            <w14:solidFill>
              <w14:schemeClr w14:val="tx1"/>
            </w14:solidFill>
          </w14:textFill>
        </w:rPr>
        <w:t>一般情况下每个品系冻存</w:t>
      </w:r>
      <w:r>
        <w:rPr>
          <w:rFonts w:hint="eastAsia" w:ascii="Arial" w:hAnsi="Arial" w:eastAsia="仿宋" w:cs="Arial"/>
          <w:color w:val="000000" w:themeColor="text1"/>
          <w:sz w:val="21"/>
          <w:szCs w:val="21"/>
          <w14:textFill>
            <w14:solidFill>
              <w14:schemeClr w14:val="tx1"/>
            </w14:solidFill>
          </w14:textFill>
        </w:rPr>
        <w:t>200-300</w:t>
      </w:r>
      <w:r>
        <w:rPr>
          <w:rFonts w:hint="eastAsia" w:ascii="Arial" w:hAnsi="Arial" w:eastAsia="仿宋" w:cs="Arial"/>
          <w:color w:val="000000" w:themeColor="text1"/>
          <w:szCs w:val="21"/>
          <w14:textFill>
            <w14:solidFill>
              <w14:schemeClr w14:val="tx1"/>
            </w14:solidFill>
          </w14:textFill>
        </w:rPr>
        <w:t>枚胚胎，若申请部门需冻存</w:t>
      </w:r>
      <w:r>
        <w:rPr>
          <w:rFonts w:hint="eastAsia" w:ascii="Arial" w:hAnsi="Arial" w:eastAsia="仿宋" w:cs="Arial"/>
          <w:color w:val="000000" w:themeColor="text1"/>
          <w:sz w:val="21"/>
          <w:szCs w:val="21"/>
          <w14:textFill>
            <w14:solidFill>
              <w14:schemeClr w14:val="tx1"/>
            </w14:solidFill>
          </w14:textFill>
        </w:rPr>
        <w:t>300</w:t>
      </w:r>
      <w:r>
        <w:rPr>
          <w:rFonts w:hint="eastAsia" w:ascii="Arial" w:hAnsi="Arial" w:eastAsia="仿宋" w:cs="Arial"/>
          <w:color w:val="000000" w:themeColor="text1"/>
          <w:szCs w:val="21"/>
          <w14:textFill>
            <w14:solidFill>
              <w14:schemeClr w14:val="tx1"/>
            </w14:solidFill>
          </w14:textFill>
        </w:rPr>
        <w:t>枚以上，则按实际冻存数量计算收费）。</w:t>
      </w:r>
    </w:p>
    <w:p>
      <w:pPr>
        <w:pStyle w:val="10"/>
        <w:tabs>
          <w:tab w:val="left" w:pos="567"/>
        </w:tabs>
        <w:spacing w:line="400" w:lineRule="exact"/>
        <w:ind w:firstLine="0" w:firstLineChars="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5）基因型鉴定：（净化出生小鼠基因型鉴定由实验室自行负责，若要求中心代鉴定则需收取相应费用，具体收费如下）</w:t>
      </w:r>
    </w:p>
    <w:p>
      <w:pPr>
        <w:pStyle w:val="10"/>
        <w:tabs>
          <w:tab w:val="left" w:pos="567"/>
        </w:tabs>
        <w:spacing w:line="400" w:lineRule="exact"/>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单基因型：每只小鼠每个基因型需收取7.5元鉴定费用，并附上基因型鉴定方案。</w:t>
      </w:r>
    </w:p>
    <w:p>
      <w:pPr>
        <w:pStyle w:val="10"/>
        <w:tabs>
          <w:tab w:val="left" w:pos="567"/>
        </w:tabs>
        <w:spacing w:line="400" w:lineRule="exact"/>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多基因型：在单基因型收费基础上每多加一个基因型每只小鼠额外收费5元，并附上基因型鉴定方案。</w:t>
      </w:r>
    </w:p>
    <w:p>
      <w:pPr>
        <w:pStyle w:val="10"/>
        <w:tabs>
          <w:tab w:val="left" w:pos="567"/>
        </w:tabs>
        <w:spacing w:line="360" w:lineRule="auto"/>
        <w:ind w:firstLine="0" w:firstLineChars="0"/>
        <w:jc w:val="left"/>
        <w:rPr>
          <w:rFonts w:hint="default" w:ascii="Times New Roman" w:hAnsi="Times New Roman" w:eastAsia="宋体" w:cs="Times New Roman"/>
          <w:b w:val="0"/>
          <w:bCs w:val="0"/>
          <w:color w:val="auto"/>
          <w:sz w:val="21"/>
          <w:szCs w:val="21"/>
          <w:highlight w:val="none"/>
          <w:lang w:val="en-US" w:eastAsia="zh-CN"/>
        </w:rPr>
      </w:pPr>
      <w:r>
        <w:rPr>
          <w:rFonts w:hint="eastAsia" w:ascii="仿宋" w:hAnsi="仿宋" w:eastAsia="仿宋" w:cs="仿宋"/>
          <w:szCs w:val="21"/>
        </w:rPr>
        <w:t>6）公共品系：</w:t>
      </w:r>
      <w:r>
        <w:rPr>
          <w:rFonts w:hint="default" w:ascii="Times New Roman" w:hAnsi="Times New Roman" w:eastAsia="宋体" w:cs="Times New Roman"/>
          <w:b w:val="0"/>
          <w:bCs w:val="0"/>
          <w:color w:val="auto"/>
          <w:sz w:val="21"/>
          <w:szCs w:val="21"/>
          <w:highlight w:val="none"/>
          <w:lang w:val="en-US" w:eastAsia="zh-CN"/>
        </w:rPr>
        <w:t>为鼓励资源共享，实验动物中心每收集一个cre line、report line或疾病模型动物等常用实验动物品系可减免申请实验室/部门1500元的实验动物相关费用，收集KO、CKO等不常用实验动物品系不减免费用；每个实验室/部门每个月最高减免5个品系，剩余费用下个月减免，依次类推</w:t>
      </w:r>
    </w:p>
    <w:p>
      <w:pPr>
        <w:pStyle w:val="10"/>
        <w:tabs>
          <w:tab w:val="left" w:pos="567"/>
        </w:tabs>
        <w:spacing w:line="360" w:lineRule="auto"/>
        <w:ind w:firstLine="0" w:firstLineChars="0"/>
        <w:jc w:val="left"/>
        <w:rPr>
          <w:rFonts w:ascii="Arial" w:hAnsi="Arial" w:eastAsia="仿宋" w:cs="Arial"/>
          <w:color w:val="000000" w:themeColor="text1"/>
          <w:kern w:val="0"/>
          <w:szCs w:val="21"/>
          <w14:textFill>
            <w14:solidFill>
              <w14:schemeClr w14:val="tx1"/>
            </w14:solidFill>
          </w14:textFill>
        </w:rPr>
      </w:pPr>
      <w:r>
        <w:rPr>
          <w:rFonts w:hint="eastAsia" w:ascii="Arial" w:hAnsi="Arial" w:eastAsia="仿宋" w:cs="Arial"/>
          <w:color w:val="000000" w:themeColor="text1"/>
          <w:kern w:val="0"/>
          <w:szCs w:val="21"/>
          <w14:textFill>
            <w14:solidFill>
              <w14:schemeClr w14:val="tx1"/>
            </w14:solidFill>
          </w14:textFill>
        </w:rPr>
        <w:t>7）冷冻后保存收费：对脑中心内部实验室不收取保存费用，外部实验室需缴纳相应保存费用。</w:t>
      </w:r>
    </w:p>
    <w:p>
      <w:pPr>
        <w:pStyle w:val="10"/>
        <w:tabs>
          <w:tab w:val="left" w:pos="567"/>
        </w:tabs>
        <w:spacing w:line="360" w:lineRule="auto"/>
        <w:ind w:firstLine="0" w:firstLineChars="0"/>
        <w:jc w:val="left"/>
        <w:rPr>
          <w:rFonts w:ascii="宋体" w:hAnsi="宋体" w:cs="仿宋"/>
          <w:color w:val="000000" w:themeColor="text1"/>
          <w:szCs w:val="21"/>
          <w14:textFill>
            <w14:solidFill>
              <w14:schemeClr w14:val="tx1"/>
            </w14:solidFill>
          </w14:textFill>
        </w:rPr>
      </w:pPr>
      <w:r>
        <w:rPr>
          <w:rFonts w:hint="eastAsia" w:ascii="Arial" w:hAnsi="Arial" w:eastAsia="仿宋" w:cs="Arial"/>
          <w:kern w:val="0"/>
          <w:szCs w:val="21"/>
        </w:rPr>
        <w:t>8</w:t>
      </w:r>
      <w:r>
        <w:rPr>
          <w:rFonts w:ascii="宋体" w:hAnsi="宋体" w:cs="仿宋"/>
          <w:color w:val="000000" w:themeColor="text1"/>
          <w:szCs w:val="21"/>
          <w14:textFill>
            <w14:solidFill>
              <w14:schemeClr w14:val="tx1"/>
            </w14:solidFill>
          </w14:textFill>
        </w:rPr>
        <w:t>)</w:t>
      </w:r>
      <w:r>
        <w:rPr>
          <w:rFonts w:hint="eastAsia" w:ascii="宋体" w:hAnsi="宋体" w:cs="仿宋"/>
          <w:color w:val="000000" w:themeColor="text1"/>
          <w:szCs w:val="21"/>
          <w14:textFill>
            <w14:solidFill>
              <w14:schemeClr w14:val="tx1"/>
            </w14:solidFill>
          </w14:textFill>
        </w:rPr>
        <w:t>提供不真实健康报告或不真实证明材料的申请人和PI或平台主任须承担所有风险及损失，触及法律应当承担责任。</w:t>
      </w:r>
    </w:p>
    <w:p>
      <w:pPr>
        <w:adjustRightInd w:val="0"/>
        <w:snapToGrid w:val="0"/>
        <w:spacing w:line="360" w:lineRule="auto"/>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9</w:t>
      </w:r>
      <w:r>
        <w:rPr>
          <w:rFonts w:ascii="宋体" w:hAnsi="宋体" w:eastAsia="宋体" w:cs="仿宋"/>
          <w:color w:val="000000" w:themeColor="text1"/>
          <w:szCs w:val="21"/>
          <w14:textFill>
            <w14:solidFill>
              <w14:schemeClr w14:val="tx1"/>
            </w14:solidFill>
          </w14:textFill>
        </w:rPr>
        <w:t>)</w:t>
      </w:r>
      <w:r>
        <w:rPr>
          <w:rFonts w:hint="eastAsia" w:ascii="宋体" w:hAnsi="宋体" w:eastAsia="宋体" w:cs="仿宋"/>
          <w:color w:val="000000" w:themeColor="text1"/>
          <w:szCs w:val="21"/>
          <w14:textFill>
            <w14:solidFill>
              <w14:schemeClr w14:val="tx1"/>
            </w14:solidFill>
          </w14:textFill>
        </w:rPr>
        <w:t>未尽事宜，按照国家、行业和北京市相关法律、法规、标准和脑中心相关规定等要求执行。</w:t>
      </w:r>
    </w:p>
    <w:p>
      <w:pPr>
        <w:adjustRightInd w:val="0"/>
        <w:snapToGrid w:val="0"/>
        <w:spacing w:line="360" w:lineRule="auto"/>
        <w:rPr>
          <w:rFonts w:ascii="宋体" w:hAnsi="宋体" w:eastAsia="宋体" w:cs="仿宋"/>
          <w:color w:val="000000" w:themeColor="text1"/>
          <w:szCs w:val="21"/>
          <w14:textFill>
            <w14:solidFill>
              <w14:schemeClr w14:val="tx1"/>
            </w14:solidFill>
          </w14:textFill>
        </w:rPr>
      </w:pPr>
      <w:r>
        <w:rPr>
          <w:rFonts w:hint="eastAsia" w:ascii="宋体" w:hAnsi="宋体" w:cs="仿宋"/>
          <w:szCs w:val="21"/>
          <w:lang w:val="en-US" w:eastAsia="zh-CN"/>
        </w:rPr>
        <w:t>10</w:t>
      </w:r>
      <w:r>
        <w:rPr>
          <w:rFonts w:hint="eastAsia" w:ascii="宋体" w:hAnsi="宋体" w:cs="仿宋"/>
          <w:szCs w:val="21"/>
        </w:rPr>
        <w:t>）联系电话：010-81912662</w:t>
      </w:r>
    </w:p>
    <w:p>
      <w:pPr>
        <w:pStyle w:val="10"/>
        <w:tabs>
          <w:tab w:val="left" w:pos="567"/>
        </w:tabs>
        <w:spacing w:line="400" w:lineRule="exact"/>
        <w:ind w:firstLine="0" w:firstLineChars="0"/>
        <w:jc w:val="left"/>
        <w:rPr>
          <w:rStyle w:val="9"/>
          <w:rFonts w:ascii="宋体" w:hAnsi="宋体" w:cs="仿宋"/>
          <w:color w:val="auto"/>
          <w:szCs w:val="21"/>
          <w:u w:val="none"/>
        </w:rPr>
      </w:pPr>
      <w:r>
        <w:rPr>
          <w:rFonts w:hint="eastAsia" w:ascii="宋体" w:hAnsi="宋体" w:cs="仿宋"/>
          <w:szCs w:val="21"/>
        </w:rPr>
        <w:t xml:space="preserve"> </w:t>
      </w:r>
      <w:r>
        <w:rPr>
          <w:rFonts w:ascii="宋体" w:hAnsi="宋体" w:cs="仿宋"/>
          <w:szCs w:val="21"/>
        </w:rPr>
        <w:t xml:space="preserve">   </w:t>
      </w:r>
      <w:r>
        <w:rPr>
          <w:rFonts w:hint="eastAsia" w:ascii="宋体" w:hAnsi="宋体" w:cs="仿宋"/>
          <w:szCs w:val="21"/>
        </w:rPr>
        <w:t>邮箱： mouserederivation@cibr.ac.cn</w:t>
      </w:r>
      <w:r>
        <w:rPr>
          <w:rStyle w:val="9"/>
          <w:rFonts w:ascii="宋体" w:hAnsi="宋体" w:cs="仿宋"/>
          <w:color w:val="auto"/>
          <w:szCs w:val="21"/>
          <w:u w:val="none"/>
        </w:rPr>
        <w:t xml:space="preserve"> </w:t>
      </w:r>
    </w:p>
    <w:p>
      <w:pPr>
        <w:pStyle w:val="10"/>
        <w:tabs>
          <w:tab w:val="left" w:pos="567"/>
        </w:tabs>
        <w:spacing w:line="400" w:lineRule="exact"/>
        <w:ind w:firstLine="1155" w:firstLineChars="550"/>
        <w:jc w:val="left"/>
        <w:rPr>
          <w:rFonts w:ascii="宋体" w:hAnsi="宋体" w:cs="Arial"/>
          <w:szCs w:val="21"/>
        </w:rPr>
      </w:pPr>
      <w:bookmarkStart w:id="0" w:name="_Hlk97278664"/>
      <w:r>
        <w:rPr>
          <w:rStyle w:val="9"/>
          <w:rFonts w:hint="eastAsia" w:ascii="宋体" w:hAnsi="宋体" w:cs="仿宋"/>
          <w:color w:val="000000" w:themeColor="text1"/>
          <w:szCs w:val="21"/>
          <w:u w:val="none"/>
          <w14:textFill>
            <w14:solidFill>
              <w14:schemeClr w14:val="tx1"/>
            </w14:solidFill>
          </w14:textFill>
        </w:rPr>
        <w:t>ratrederivation@cibr.ac.cn</w:t>
      </w:r>
      <w:bookmarkEnd w:id="0"/>
    </w:p>
    <w:p>
      <w:pPr>
        <w:pStyle w:val="10"/>
        <w:tabs>
          <w:tab w:val="left" w:pos="567"/>
        </w:tabs>
        <w:spacing w:line="400" w:lineRule="exact"/>
        <w:ind w:firstLine="0" w:firstLineChars="0"/>
        <w:jc w:val="left"/>
        <w:rPr>
          <w:rFonts w:ascii="Arial" w:hAnsi="Arial" w:eastAsia="仿宋" w:cs="Arial"/>
          <w:szCs w:val="21"/>
        </w:rPr>
      </w:pPr>
    </w:p>
    <w:sectPr>
      <w:headerReference r:id="rId3" w:type="default"/>
      <w:footerReference r:id="rId4" w:type="default"/>
      <w:pgSz w:w="11906" w:h="16838"/>
      <w:pgMar w:top="720" w:right="720" w:bottom="720" w:left="72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Arial" w:hAnsi="Arial" w:cs="Arial" w:eastAsiaTheme="minorEastAsia"/>
        <w:sz w:val="21"/>
        <w:szCs w:val="32"/>
        <w:lang w:val="en-US" w:eastAsia="zh-CN"/>
      </w:rPr>
    </w:pPr>
    <w:r>
      <w:rPr>
        <w:rFonts w:ascii="Arial" w:hAnsi="Arial" w:cs="Arial"/>
        <w:sz w:val="21"/>
        <w:szCs w:val="32"/>
      </w:rPr>
      <w:t>北京脑科学与类脑研究中心· CIBR / 编号：LARC-T0</w:t>
    </w:r>
    <w:r>
      <w:rPr>
        <w:rFonts w:hint="eastAsia" w:ascii="Arial" w:hAnsi="Arial" w:cs="Arial"/>
        <w:sz w:val="21"/>
        <w:szCs w:val="32"/>
        <w:lang w:val="en-US" w:eastAsia="zh-CN"/>
      </w:rPr>
      <w:t>31</w:t>
    </w:r>
  </w:p>
  <w:p>
    <w:pPr>
      <w:pStyle w:val="3"/>
      <w:rPr>
        <w:rFonts w:ascii="Arial" w:hAnsi="Arial" w:cs="Arial"/>
        <w:sz w:val="21"/>
        <w:szCs w:val="32"/>
      </w:rPr>
    </w:pPr>
    <w:r>
      <w:rPr>
        <w:rFonts w:ascii="Arial" w:hAnsi="Arial" w:cs="Arial"/>
        <w:sz w:val="21"/>
        <w:szCs w:val="32"/>
      </w:rPr>
      <w:t>起草人：</w:t>
    </w:r>
    <w:r>
      <w:rPr>
        <w:rFonts w:hint="eastAsia" w:ascii="Arial" w:hAnsi="Arial" w:cs="Arial"/>
        <w:sz w:val="21"/>
        <w:szCs w:val="32"/>
      </w:rPr>
      <w:t>梁小宁</w:t>
    </w:r>
    <w:r>
      <w:rPr>
        <w:rFonts w:ascii="Arial" w:hAnsi="Arial" w:cs="Arial"/>
        <w:sz w:val="21"/>
        <w:szCs w:val="32"/>
      </w:rPr>
      <w:t xml:space="preserve"> / 修订人：</w:t>
    </w:r>
    <w:r>
      <w:rPr>
        <w:rFonts w:hint="eastAsia" w:ascii="Arial" w:hAnsi="Arial" w:cs="Arial"/>
        <w:sz w:val="21"/>
        <w:szCs w:val="32"/>
      </w:rPr>
      <w:t>陈亮</w:t>
    </w:r>
    <w:r>
      <w:rPr>
        <w:rFonts w:ascii="Arial" w:hAnsi="Arial" w:cs="Arial"/>
        <w:sz w:val="21"/>
        <w:szCs w:val="32"/>
      </w:rPr>
      <w:t xml:space="preserve"> / 批准人：</w:t>
    </w:r>
    <w:r>
      <w:rPr>
        <w:rFonts w:hint="eastAsia" w:ascii="Arial" w:hAnsi="Arial" w:cs="Arial"/>
        <w:sz w:val="21"/>
        <w:szCs w:val="32"/>
      </w:rPr>
      <w:t>李文龙</w:t>
    </w:r>
    <w:r>
      <w:rPr>
        <w:rFonts w:ascii="Arial" w:hAnsi="Arial" w:cs="Arial"/>
        <w:sz w:val="21"/>
        <w:szCs w:val="32"/>
      </w:rPr>
      <w:t xml:space="preserve"> / 第2版/ 第</w:t>
    </w:r>
    <w:r>
      <w:rPr>
        <w:rFonts w:hint="eastAsia" w:ascii="Arial" w:hAnsi="Arial" w:cs="Arial"/>
        <w:sz w:val="21"/>
        <w:szCs w:val="32"/>
        <w:lang w:val="en-US" w:eastAsia="zh-CN"/>
      </w:rPr>
      <w:t>2</w:t>
    </w:r>
    <w:r>
      <w:rPr>
        <w:rFonts w:ascii="Arial" w:hAnsi="Arial" w:cs="Arial"/>
        <w:sz w:val="21"/>
        <w:szCs w:val="32"/>
      </w:rPr>
      <w:t>次修订</w:t>
    </w:r>
  </w:p>
  <w:p>
    <w:pPr>
      <w:pStyle w:val="3"/>
      <w:rPr>
        <w:rFonts w:ascii="Arial" w:hAnsi="Arial" w:cs="Arial"/>
        <w:sz w:val="21"/>
        <w:szCs w:val="32"/>
      </w:rPr>
    </w:pPr>
    <w:r>
      <w:rPr>
        <w:rFonts w:ascii="Arial" w:hAnsi="Arial" w:cs="Arial"/>
        <w:sz w:val="21"/>
        <w:szCs w:val="32"/>
      </w:rPr>
      <w:t>生效时间：2022年</w:t>
    </w:r>
    <w:r>
      <w:rPr>
        <w:rFonts w:hint="eastAsia" w:ascii="Arial" w:hAnsi="Arial" w:cs="Arial"/>
        <w:sz w:val="21"/>
        <w:szCs w:val="32"/>
      </w:rPr>
      <w:t>0</w:t>
    </w:r>
    <w:r>
      <w:rPr>
        <w:rFonts w:hint="eastAsia" w:ascii="Arial" w:hAnsi="Arial" w:cs="Arial"/>
        <w:sz w:val="21"/>
        <w:szCs w:val="32"/>
        <w:lang w:val="en-US" w:eastAsia="zh-CN"/>
      </w:rPr>
      <w:t>3</w:t>
    </w:r>
    <w:r>
      <w:rPr>
        <w:rFonts w:ascii="Arial" w:hAnsi="Arial" w:cs="Arial"/>
        <w:sz w:val="21"/>
        <w:szCs w:val="32"/>
      </w:rPr>
      <w:t>月</w:t>
    </w:r>
    <w:r>
      <w:rPr>
        <w:rFonts w:hint="eastAsia" w:ascii="Arial" w:hAnsi="Arial" w:cs="Arial"/>
        <w:sz w:val="21"/>
        <w:szCs w:val="32"/>
        <w:lang w:val="en-US" w:eastAsia="zh-CN"/>
      </w:rPr>
      <w:t>11</w:t>
    </w:r>
    <w:r>
      <w:rPr>
        <w:rFonts w:ascii="Arial" w:hAnsi="Arial" w:cs="Arial"/>
        <w:sz w:val="21"/>
        <w:szCs w:val="32"/>
      </w:rPr>
      <w:t>日 / 修订时间：</w:t>
    </w:r>
    <w:r>
      <w:rPr>
        <w:rFonts w:hint="eastAsia" w:ascii="Arial" w:hAnsi="Arial" w:cs="Arial"/>
        <w:sz w:val="21"/>
        <w:szCs w:val="32"/>
      </w:rPr>
      <w:t>2</w:t>
    </w:r>
    <w:r>
      <w:rPr>
        <w:rFonts w:ascii="Arial" w:hAnsi="Arial" w:cs="Arial"/>
        <w:sz w:val="21"/>
        <w:szCs w:val="32"/>
      </w:rPr>
      <w:t>022</w:t>
    </w:r>
    <w:r>
      <w:rPr>
        <w:rFonts w:hint="eastAsia" w:ascii="Arial" w:hAnsi="Arial" w:cs="Arial"/>
        <w:sz w:val="21"/>
        <w:szCs w:val="32"/>
      </w:rPr>
      <w:t>年0</w:t>
    </w:r>
    <w:r>
      <w:rPr>
        <w:rFonts w:hint="eastAsia" w:ascii="Arial" w:hAnsi="Arial" w:cs="Arial"/>
        <w:sz w:val="21"/>
        <w:szCs w:val="32"/>
        <w:lang w:val="en-US" w:eastAsia="zh-CN"/>
      </w:rPr>
      <w:t>3</w:t>
    </w:r>
    <w:r>
      <w:rPr>
        <w:rFonts w:hint="eastAsia" w:ascii="Arial" w:hAnsi="Arial" w:cs="Arial"/>
        <w:sz w:val="21"/>
        <w:szCs w:val="32"/>
      </w:rPr>
      <w:t>月</w:t>
    </w:r>
    <w:r>
      <w:rPr>
        <w:rFonts w:hint="eastAsia" w:ascii="Arial" w:hAnsi="Arial" w:cs="Arial"/>
        <w:sz w:val="21"/>
        <w:szCs w:val="32"/>
        <w:lang w:val="en-US" w:eastAsia="zh-CN"/>
      </w:rPr>
      <w:t>11</w:t>
    </w:r>
    <w:r>
      <w:rPr>
        <w:rFonts w:hint="eastAsia" w:ascii="Arial" w:hAnsi="Arial" w:cs="Arial"/>
        <w:sz w:val="21"/>
        <w:szCs w:val="32"/>
      </w:rPr>
      <w:t>日</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12CDE6"/>
    <w:multiLevelType w:val="singleLevel"/>
    <w:tmpl w:val="4A12CDE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MDJjYjIzYzJlMGEyMjA3OGMzZTgyNWM1MjFmNzUifQ=="/>
  </w:docVars>
  <w:rsids>
    <w:rsidRoot w:val="2963436A"/>
    <w:rsid w:val="000045E9"/>
    <w:rsid w:val="00113EE9"/>
    <w:rsid w:val="00212421"/>
    <w:rsid w:val="00257A5B"/>
    <w:rsid w:val="003646B0"/>
    <w:rsid w:val="0039750E"/>
    <w:rsid w:val="004658D2"/>
    <w:rsid w:val="00481EFE"/>
    <w:rsid w:val="00490CA7"/>
    <w:rsid w:val="00511434"/>
    <w:rsid w:val="005A7285"/>
    <w:rsid w:val="005E647F"/>
    <w:rsid w:val="006E6011"/>
    <w:rsid w:val="009F5CE5"/>
    <w:rsid w:val="00AA008C"/>
    <w:rsid w:val="00B479C9"/>
    <w:rsid w:val="00B54973"/>
    <w:rsid w:val="00B57CAF"/>
    <w:rsid w:val="00BC2CE3"/>
    <w:rsid w:val="00C070E6"/>
    <w:rsid w:val="00C91E60"/>
    <w:rsid w:val="00D62B8A"/>
    <w:rsid w:val="00E62F4B"/>
    <w:rsid w:val="00E71C49"/>
    <w:rsid w:val="00EA3BA9"/>
    <w:rsid w:val="00FB750F"/>
    <w:rsid w:val="00FF1968"/>
    <w:rsid w:val="017D3EA2"/>
    <w:rsid w:val="019C1008"/>
    <w:rsid w:val="0481414C"/>
    <w:rsid w:val="05FE07C7"/>
    <w:rsid w:val="0738526C"/>
    <w:rsid w:val="09C70E09"/>
    <w:rsid w:val="0D1C774C"/>
    <w:rsid w:val="150D4B15"/>
    <w:rsid w:val="15D33602"/>
    <w:rsid w:val="15E921B9"/>
    <w:rsid w:val="173B4F93"/>
    <w:rsid w:val="1A612221"/>
    <w:rsid w:val="1A75310E"/>
    <w:rsid w:val="21261117"/>
    <w:rsid w:val="22FA253C"/>
    <w:rsid w:val="238224E9"/>
    <w:rsid w:val="27C57EFE"/>
    <w:rsid w:val="2963436A"/>
    <w:rsid w:val="2A741A2D"/>
    <w:rsid w:val="2A9C46DF"/>
    <w:rsid w:val="2B6A3616"/>
    <w:rsid w:val="2B72132E"/>
    <w:rsid w:val="2BB7535C"/>
    <w:rsid w:val="2F733C4A"/>
    <w:rsid w:val="31E375A2"/>
    <w:rsid w:val="327769F5"/>
    <w:rsid w:val="3692760C"/>
    <w:rsid w:val="39FE1F47"/>
    <w:rsid w:val="3C05629A"/>
    <w:rsid w:val="3EF15559"/>
    <w:rsid w:val="3EF2116B"/>
    <w:rsid w:val="3FA41B5A"/>
    <w:rsid w:val="40F10D2C"/>
    <w:rsid w:val="41E16DB8"/>
    <w:rsid w:val="42027709"/>
    <w:rsid w:val="452F79ED"/>
    <w:rsid w:val="4DA5509E"/>
    <w:rsid w:val="53605C18"/>
    <w:rsid w:val="572B19D8"/>
    <w:rsid w:val="588A3569"/>
    <w:rsid w:val="5ACC5EAF"/>
    <w:rsid w:val="5AF12A74"/>
    <w:rsid w:val="5BFB3E54"/>
    <w:rsid w:val="5C3A3290"/>
    <w:rsid w:val="5F8D53F0"/>
    <w:rsid w:val="6148001A"/>
    <w:rsid w:val="62FE7C84"/>
    <w:rsid w:val="66166AA8"/>
    <w:rsid w:val="6DEB2697"/>
    <w:rsid w:val="6E6B7A5E"/>
    <w:rsid w:val="7145478B"/>
    <w:rsid w:val="738F41CB"/>
    <w:rsid w:val="770D79FF"/>
    <w:rsid w:val="7C3642BF"/>
    <w:rsid w:val="7CB341A5"/>
    <w:rsid w:val="7FCF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彩色列表 - 着色 1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1">
    <w:name w:val="页眉 字符"/>
    <w:basedOn w:val="8"/>
    <w:link w:val="4"/>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1607</Words>
  <Characters>2041</Characters>
  <Lines>14</Lines>
  <Paragraphs>4</Paragraphs>
  <TotalTime>0</TotalTime>
  <ScaleCrop>false</ScaleCrop>
  <LinksUpToDate>false</LinksUpToDate>
  <CharactersWithSpaces>2291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2019-10-22T06:36:00Z</dcterms:created>
  <dc:creator>...</dc:creator>
  <cp:lastModifiedBy>Rainbow忄</cp:lastModifiedBy>
  <cp:lastPrinted>2021-03-31T05:54:00Z</cp:lastPrinted>
  <dcterms:modified xsi:type="dcterms:W3CDTF">2023-11-15T08:11:46Z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42627DBBAE69400F9FD503241385D2D1</vt:lpwstr>
  </property>
</Properties>
</file>